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0D" w:rsidRPr="00AF2B0D" w:rsidRDefault="00AF2B0D" w:rsidP="00AF2B0D">
      <w:pPr>
        <w:spacing w:after="0" w:line="276" w:lineRule="auto"/>
        <w:jc w:val="center"/>
        <w:rPr>
          <w:rFonts w:ascii="Times New Roman" w:hAnsi="Times New Roman" w:cs="Times New Roman"/>
          <w:b/>
        </w:rPr>
      </w:pPr>
      <w:r w:rsidRPr="00AF2B0D">
        <w:rPr>
          <w:rFonts w:ascii="Times New Roman" w:hAnsi="Times New Roman" w:cs="Times New Roman"/>
          <w:b/>
        </w:rPr>
        <w:t>UMOWA GENERALNA nr 272.1.2020.MZim</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center"/>
        <w:rPr>
          <w:rFonts w:ascii="Times New Roman" w:hAnsi="Times New Roman" w:cs="Times New Roman"/>
        </w:rPr>
      </w:pPr>
      <w:r w:rsidRPr="00AF2B0D">
        <w:rPr>
          <w:rFonts w:ascii="Times New Roman" w:hAnsi="Times New Roman" w:cs="Times New Roman"/>
        </w:rPr>
        <w:t>zawarta w dniu …………...….....2020 r. w Jasieniu</w:t>
      </w: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pomiędzy:</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podmiotami zrzeszonymi w ramach grupy zakupowej na dostawę (zakup) energii elektrycznej utworzonej na podstawie pełnomocnictw udzielonych Burmistrzowi Jasienia, wyszc</w:t>
      </w:r>
      <w:r>
        <w:rPr>
          <w:rFonts w:ascii="Times New Roman" w:hAnsi="Times New Roman" w:cs="Times New Roman"/>
        </w:rPr>
        <w:t xml:space="preserve">zególnionymi w załączniku nr 1, </w:t>
      </w:r>
      <w:r w:rsidRPr="00AF2B0D">
        <w:rPr>
          <w:rFonts w:ascii="Times New Roman" w:hAnsi="Times New Roman" w:cs="Times New Roman"/>
        </w:rPr>
        <w:t>które reprezentuje:</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Gmina</w:t>
      </w:r>
      <w:r w:rsidRPr="00AF2B0D">
        <w:rPr>
          <w:rFonts w:ascii="Times New Roman" w:hAnsi="Times New Roman" w:cs="Times New Roman"/>
        </w:rPr>
        <w:t xml:space="preserve"> Jasień  z siedzibą ul. XX-</w:t>
      </w:r>
      <w:proofErr w:type="spellStart"/>
      <w:r w:rsidRPr="00AF2B0D">
        <w:rPr>
          <w:rFonts w:ascii="Times New Roman" w:hAnsi="Times New Roman" w:cs="Times New Roman"/>
        </w:rPr>
        <w:t>lecia</w:t>
      </w:r>
      <w:proofErr w:type="spellEnd"/>
      <w:r w:rsidRPr="00AF2B0D">
        <w:rPr>
          <w:rFonts w:ascii="Times New Roman" w:hAnsi="Times New Roman" w:cs="Times New Roman"/>
        </w:rPr>
        <w:t xml:space="preserve"> 20; 68-320 Jasień NIP 928 19 63 691</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reprezentowanym przez Burmistrza Jasienia – Pana Andrzeja Kamyszka</w:t>
      </w:r>
    </w:p>
    <w:p w:rsid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przy kontrasygnacie Skarbnika Gminy Pani Agnieszki Woźniak</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 xml:space="preserve">a </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 xml:space="preserve">……………………… zam., Pesel: ………, prowadzącym działalność gospodarczą wpisaną do Centralnej Ewidencji i Informacji o Działalności Gospodarczej pod nazwą ………., z siedzibą w …..…………………, posiadającym NIP ………………………. REGON…………………………………………../ </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 z siedzibą przy ul. …………………….., …………………………….., wpisanym do rejestru przedsiębiorców KRS pod numerem …………., NIP …………………………, REGON ………………………………..</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reprezentowaną przez:</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zwaną/</w:t>
      </w:r>
      <w:proofErr w:type="spellStart"/>
      <w:r w:rsidRPr="00AF2B0D">
        <w:rPr>
          <w:rFonts w:ascii="Times New Roman" w:hAnsi="Times New Roman" w:cs="Times New Roman"/>
        </w:rPr>
        <w:t>nym</w:t>
      </w:r>
      <w:proofErr w:type="spellEnd"/>
      <w:r w:rsidRPr="00AF2B0D">
        <w:rPr>
          <w:rFonts w:ascii="Times New Roman" w:hAnsi="Times New Roman" w:cs="Times New Roman"/>
        </w:rPr>
        <w:t xml:space="preserve"> w dalszej części Umowy Wykonawcą, zwanym dalej Dostawcą, oraz</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zwanych dalej łącznie lub osobno odpowiednio „Stronami”,  „Stroną”.</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Podstawą zawarcia niniejszej umowy jest rozstrzygnięcie przetargu nieograniczonego (nr referencyjny: ZPOŚiP.271.2.2020.MZim.), przeprowadzonego zgodnie z ustawą z dnia 29 stycznia 2004 r. Prawo zamówień publicznych (Dz. U. z 2019 r. poz. 1843 t. j.).</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Strony zawierają umowę generalną o następującej treści:</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1</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 xml:space="preserve">Dostawca zobowiązuje się do dostawy energii elektrycznej, a podmioty zrzeszone w grupie zakupowej, będące odbiorcami końcowymi energii elektrycznej (w myśl art. 3 pkt 13a ustawy z dnia 10 kwietnia 1997 r. Prawo energetyczne) </w:t>
      </w:r>
      <w:r w:rsidRPr="00EE3E1E">
        <w:rPr>
          <w:rFonts w:ascii="Times New Roman" w:hAnsi="Times New Roman" w:cs="Times New Roman"/>
          <w:strike/>
        </w:rPr>
        <w:t>lub nie będący-mi odbiorcami końcowymi energii elektrycznej a posiadającymi koncesję Prezesa Urzędu Regulacji Energetyki na wytwarzanie energii elektrycznej (zwolnionymi z podatku akcyzowego, w myśl art. 30 ustawy z dnia 6 grudnia 2008 r. O podatku akcyzowym)</w:t>
      </w:r>
      <w:r w:rsidRPr="00AF2B0D">
        <w:rPr>
          <w:rFonts w:ascii="Times New Roman" w:hAnsi="Times New Roman" w:cs="Times New Roman"/>
        </w:rPr>
        <w:t>, zobowiązują się do kupna energii elektrycznej dla potrzeb punktów poboru energii elektrycznej określonych w załącznikach do SIWZ, dotyczących poszczególnych podmiotów.</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Jako, że podmioty poprzez zrzeszenie się w ramach grupy zakupowej na dostawę (zakup) energii elektrycznej utworzonej na podstawie pełnomocnictw udzielonych Burmistrzowi Jasienia, nie straciły statusu zamawiającego, rozumianego w myśl art. 2 pkt 12) ustawy z dnia 29 stycznia 2004 r. Prawo zamówień publicznych lub uznały się, poprzez udział w przedmiotowym przedsięwzięciu, za zamawiającego w myśl powyższej ustawy (w przypadku podmiotów nieobowiązanych do stosowania ustawy Prawo zamówień publicznych), jak również posiadają status (osobnego) odbiorcy energii elektrycznej nadany im przez treść art. 3 pkt 13) ustawy z dnia 10 kwietnia 1997 r. Prawo energetyczne,</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 ramach niniejszej umowy generalnej zawarte zostaną umowy szczegółowe, których stronami będą wszyscy za-mawiający z osobna.</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 xml:space="preserve">Wykaz Punktów Pobory Energii Elektrycznej (PPE), stanowiący załącznik do Specyfikacji Istotnych Warunków Zamówienia, w formie pliku *xls, na podstawie, którego Sprzedawca dokona </w:t>
      </w:r>
      <w:r w:rsidRPr="00AF2B0D">
        <w:rPr>
          <w:rFonts w:ascii="Times New Roman" w:hAnsi="Times New Roman" w:cs="Times New Roman"/>
        </w:rPr>
        <w:lastRenderedPageBreak/>
        <w:t>wszelkich czynności związanych z procesem zmiany sprzedawcy energii elektrycznej, zgodnie z Instrukcją Ruchu i Eksploatacji Sieci Dystrybucyjnej właściwego dla Płatnika OSD, stanowi również wykaz PPE wobec, których dany zamawiający jest odbiorcą faktur VAT za zużytą energię elektryczną.</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4.</w:t>
      </w:r>
      <w:r w:rsidRPr="00AF2B0D">
        <w:rPr>
          <w:rFonts w:ascii="Times New Roman" w:hAnsi="Times New Roman" w:cs="Times New Roman"/>
        </w:rPr>
        <w:tab/>
        <w:t>Strony nie dopuszczają możliwości zawarcia umowy, o której mowa w treści § 1 ust. 2 niniejszej umowy, przez jednego zamawiającego (podmiot) w imieniu swoim oraz innych zamawiających, na podstawie uprzednio zawartego w tym celu porozumienia pomiędzy zainteresowanymi podmiotami.</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2</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Umowa wchodzi w życie z dniem jej podpisania, z tym, że termin rozpoczęcia jej realizacji określa się na następny dzień po skutecznym rozwiązaniu umów kompleksowych lub umów sprzedaży energii elektrycznej zawartych z dotychczasowym dostawcą energii elektrycznej i dostosowaniem układów pomiarowo-rozliczeniowych do dostawy energii elektrycznej na zasadach TPA (dotyczy PPE rozliczanych za energię elektryczną w taryfie typu B XX), lecz nie wcześniej niż po pozytywnej weryfikacji procedury zmiany sprzedawcy i wejściu w życie umowy o świadczenie usług dystrybucji.</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Umowa zostaje zawarta na czas oznaczony do dnia 31 grudnia 20</w:t>
      </w:r>
      <w:r w:rsidR="00EE3E1E">
        <w:rPr>
          <w:rFonts w:ascii="Times New Roman" w:hAnsi="Times New Roman" w:cs="Times New Roman"/>
        </w:rPr>
        <w:t>20</w:t>
      </w:r>
      <w:r w:rsidRPr="00AF2B0D">
        <w:rPr>
          <w:rFonts w:ascii="Times New Roman" w:hAnsi="Times New Roman" w:cs="Times New Roman"/>
        </w:rPr>
        <w:t xml:space="preserve"> r.</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Umowa nie obejmuje spraw związanych z usługą dystrybucji energii elektrycznej, przyłączeniem i opomiarowaniem energii, wchodzących w zakres odrębnej umowy o świadczenie usług dystrybucji zawartej przez właściwy Podmiot z Operatorem Sieci Dystrybucyjnej.</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3</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Na podstawie oferty Dostawcy z dnia ustala się następujące ceny energii dla podmiotów będących odbiorcą końcowym energii elektrycznej w rozumieniu ustawy z dnia 10 kwietnia 1997 r. Prawo energetyczne (Dz. U. z 2019 r. poz. 755 t. j.):</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40" w:lineRule="auto"/>
        <w:rPr>
          <w:rFonts w:ascii="Times New Roman" w:eastAsia="Times New Roman" w:hAnsi="Times New Roman" w:cs="Times New Roman"/>
          <w:lang w:eastAsia="pl-PL"/>
        </w:rPr>
      </w:pPr>
    </w:p>
    <w:tbl>
      <w:tblPr>
        <w:tblW w:w="941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1275"/>
        <w:gridCol w:w="1100"/>
        <w:gridCol w:w="1369"/>
        <w:gridCol w:w="1607"/>
        <w:gridCol w:w="850"/>
        <w:gridCol w:w="1512"/>
        <w:gridCol w:w="1075"/>
      </w:tblGrid>
      <w:tr w:rsidR="00AF2B0D" w:rsidRPr="00AF2B0D" w:rsidTr="00AF2B0D">
        <w:trPr>
          <w:cantSplit/>
          <w:trHeight w:val="482"/>
        </w:trPr>
        <w:tc>
          <w:tcPr>
            <w:tcW w:w="631" w:type="dxa"/>
            <w:vMerge w:val="restart"/>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L.P.</w:t>
            </w:r>
          </w:p>
        </w:tc>
        <w:tc>
          <w:tcPr>
            <w:tcW w:w="1275" w:type="dxa"/>
            <w:vMerge w:val="restart"/>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Taryfa</w:t>
            </w:r>
          </w:p>
        </w:tc>
        <w:tc>
          <w:tcPr>
            <w:tcW w:w="1100" w:type="dxa"/>
            <w:vMerge w:val="restart"/>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Ilość</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[kWh]</w:t>
            </w:r>
          </w:p>
        </w:tc>
        <w:tc>
          <w:tcPr>
            <w:tcW w:w="2976" w:type="dxa"/>
            <w:gridSpan w:val="2"/>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Cena netto</w:t>
            </w:r>
            <w:r w:rsidRPr="00AF2B0D">
              <w:rPr>
                <w:rFonts w:ascii="Times New Roman" w:eastAsia="Times New Roman" w:hAnsi="Times New Roman" w:cs="Times New Roman"/>
                <w:sz w:val="16"/>
                <w:szCs w:val="16"/>
                <w:lang w:eastAsia="pl-PL"/>
              </w:rPr>
              <w:t xml:space="preserve"> </w:t>
            </w:r>
            <w:r w:rsidRPr="00AF2B0D">
              <w:rPr>
                <w:rFonts w:ascii="Times New Roman" w:eastAsia="Times New Roman" w:hAnsi="Times New Roman" w:cs="Times New Roman"/>
                <w:b/>
                <w:sz w:val="16"/>
                <w:szCs w:val="16"/>
                <w:lang w:eastAsia="pl-PL"/>
              </w:rPr>
              <w:t>(zł)</w:t>
            </w:r>
          </w:p>
        </w:tc>
        <w:tc>
          <w:tcPr>
            <w:tcW w:w="2362" w:type="dxa"/>
            <w:gridSpan w:val="2"/>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Podatek VAT***</w:t>
            </w:r>
          </w:p>
        </w:tc>
        <w:tc>
          <w:tcPr>
            <w:tcW w:w="1075" w:type="dxa"/>
            <w:vMerge w:val="restart"/>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Cena brutto (zł)</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/rubr. 5 + rubr. 7 = rubr.8/**</w:t>
            </w:r>
          </w:p>
        </w:tc>
      </w:tr>
      <w:tr w:rsidR="00AF2B0D" w:rsidRPr="00AF2B0D" w:rsidTr="00AF2B0D">
        <w:trPr>
          <w:cantSplit/>
        </w:trPr>
        <w:tc>
          <w:tcPr>
            <w:tcW w:w="631" w:type="dxa"/>
            <w:vMerge/>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p>
        </w:tc>
        <w:tc>
          <w:tcPr>
            <w:tcW w:w="1275" w:type="dxa"/>
            <w:vMerge/>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p>
        </w:tc>
        <w:tc>
          <w:tcPr>
            <w:tcW w:w="1100" w:type="dxa"/>
            <w:vMerge/>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Jednostkowa*</w:t>
            </w: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Ogółem</w:t>
            </w:r>
          </w:p>
          <w:p w:rsidR="00AF2B0D" w:rsidRPr="00AF2B0D" w:rsidRDefault="00AF2B0D" w:rsidP="00AF2B0D">
            <w:pPr>
              <w:spacing w:after="0" w:line="240" w:lineRule="auto"/>
              <w:jc w:val="center"/>
              <w:rPr>
                <w:rFonts w:ascii="Times New Roman" w:eastAsia="Times New Roman" w:hAnsi="Times New Roman" w:cs="Times New Roman"/>
                <w:b/>
                <w:sz w:val="16"/>
                <w:szCs w:val="16"/>
                <w:lang w:val="de-DE" w:eastAsia="pl-PL"/>
              </w:rPr>
            </w:pPr>
            <w:r w:rsidRPr="00AF2B0D">
              <w:rPr>
                <w:rFonts w:ascii="Times New Roman" w:eastAsia="Times New Roman" w:hAnsi="Times New Roman" w:cs="Times New Roman"/>
                <w:b/>
                <w:sz w:val="16"/>
                <w:szCs w:val="16"/>
                <w:lang w:eastAsia="pl-PL"/>
              </w:rPr>
              <w:t xml:space="preserve">/rubr. </w:t>
            </w:r>
            <w:r w:rsidRPr="00AF2B0D">
              <w:rPr>
                <w:rFonts w:ascii="Times New Roman" w:eastAsia="Times New Roman" w:hAnsi="Times New Roman" w:cs="Times New Roman"/>
                <w:b/>
                <w:sz w:val="16"/>
                <w:szCs w:val="16"/>
                <w:lang w:val="de-DE" w:eastAsia="pl-PL"/>
              </w:rPr>
              <w:t xml:space="preserve">3 X rubr.4 = </w:t>
            </w:r>
            <w:proofErr w:type="spellStart"/>
            <w:r w:rsidRPr="00AF2B0D">
              <w:rPr>
                <w:rFonts w:ascii="Times New Roman" w:eastAsia="Times New Roman" w:hAnsi="Times New Roman" w:cs="Times New Roman"/>
                <w:b/>
                <w:sz w:val="16"/>
                <w:szCs w:val="16"/>
                <w:lang w:val="de-DE" w:eastAsia="pl-PL"/>
              </w:rPr>
              <w:t>rubr</w:t>
            </w:r>
            <w:proofErr w:type="spellEnd"/>
            <w:r w:rsidRPr="00AF2B0D">
              <w:rPr>
                <w:rFonts w:ascii="Times New Roman" w:eastAsia="Times New Roman" w:hAnsi="Times New Roman" w:cs="Times New Roman"/>
                <w:b/>
                <w:sz w:val="16"/>
                <w:szCs w:val="16"/>
                <w:lang w:val="de-DE" w:eastAsia="pl-PL"/>
              </w:rPr>
              <w:t>. 5/**</w:t>
            </w: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Stawka w %</w:t>
            </w: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Wartość</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(zł)</w:t>
            </w:r>
          </w:p>
          <w:p w:rsidR="00AF2B0D" w:rsidRPr="00AF2B0D" w:rsidRDefault="00AF2B0D" w:rsidP="00AF2B0D">
            <w:pPr>
              <w:spacing w:after="0" w:line="240" w:lineRule="auto"/>
              <w:jc w:val="center"/>
              <w:rPr>
                <w:rFonts w:ascii="Times New Roman" w:eastAsia="Times New Roman" w:hAnsi="Times New Roman" w:cs="Times New Roman"/>
                <w:b/>
                <w:sz w:val="16"/>
                <w:szCs w:val="16"/>
                <w:lang w:val="de-DE" w:eastAsia="pl-PL"/>
              </w:rPr>
            </w:pPr>
            <w:r w:rsidRPr="00AF2B0D">
              <w:rPr>
                <w:rFonts w:ascii="Times New Roman" w:eastAsia="Times New Roman" w:hAnsi="Times New Roman" w:cs="Times New Roman"/>
                <w:b/>
                <w:sz w:val="16"/>
                <w:szCs w:val="16"/>
                <w:lang w:val="de-DE" w:eastAsia="pl-PL"/>
              </w:rPr>
              <w:t>/rubr.5 x rubr.6 =rubr.7/**</w:t>
            </w:r>
          </w:p>
        </w:tc>
        <w:tc>
          <w:tcPr>
            <w:tcW w:w="1075" w:type="dxa"/>
            <w:vMerge/>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val="de-DE" w:eastAsia="pl-PL"/>
              </w:rPr>
            </w:pPr>
          </w:p>
        </w:tc>
      </w:tr>
      <w:tr w:rsidR="00AF2B0D" w:rsidRPr="00AF2B0D" w:rsidTr="00AF2B0D">
        <w:trPr>
          <w:cantSplit/>
        </w:trPr>
        <w:tc>
          <w:tcPr>
            <w:tcW w:w="631"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val="de-DE" w:eastAsia="pl-PL"/>
              </w:rPr>
            </w:pPr>
            <w:r w:rsidRPr="00AF2B0D">
              <w:rPr>
                <w:rFonts w:ascii="Times New Roman" w:eastAsia="Times New Roman" w:hAnsi="Times New Roman" w:cs="Times New Roman"/>
                <w:sz w:val="16"/>
                <w:szCs w:val="16"/>
                <w:lang w:val="de-DE" w:eastAsia="pl-PL"/>
              </w:rPr>
              <w:t>1</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2</w:t>
            </w:r>
          </w:p>
        </w:tc>
        <w:tc>
          <w:tcPr>
            <w:tcW w:w="110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3</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4</w:t>
            </w: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5</w:t>
            </w: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6</w:t>
            </w: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7</w:t>
            </w: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8</w:t>
            </w:r>
          </w:p>
        </w:tc>
      </w:tr>
      <w:tr w:rsidR="00AF2B0D" w:rsidRPr="00AF2B0D" w:rsidTr="00AF2B0D">
        <w:trPr>
          <w:trHeight w:val="550"/>
        </w:trPr>
        <w:tc>
          <w:tcPr>
            <w:tcW w:w="631"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1.</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B21</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102083</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275" w:type="dxa"/>
            <w:vAlign w:val="center"/>
          </w:tcPr>
          <w:p w:rsid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C11</w:t>
            </w:r>
          </w:p>
          <w:p w:rsidR="00EE3E1E" w:rsidRPr="00AF2B0D" w:rsidRDefault="00EE3E1E"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 STREFA</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113027</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EE3E1E" w:rsidRPr="00AF2B0D" w:rsidTr="00AF2B0D">
        <w:trPr>
          <w:trHeight w:val="550"/>
        </w:trPr>
        <w:tc>
          <w:tcPr>
            <w:tcW w:w="631" w:type="dxa"/>
            <w:vAlign w:val="center"/>
          </w:tcPr>
          <w:p w:rsidR="00EE3E1E"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1275" w:type="dxa"/>
            <w:vAlign w:val="center"/>
          </w:tcPr>
          <w:p w:rsidR="00EE3E1E"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C11</w:t>
            </w:r>
          </w:p>
          <w:p w:rsidR="00EE3E1E" w:rsidRPr="00AF2B0D" w:rsidRDefault="00EE3E1E"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II STREFA</w:t>
            </w:r>
          </w:p>
        </w:tc>
        <w:tc>
          <w:tcPr>
            <w:tcW w:w="1100" w:type="dxa"/>
            <w:vAlign w:val="center"/>
          </w:tcPr>
          <w:p w:rsidR="00EE3E1E"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5017</w:t>
            </w:r>
          </w:p>
        </w:tc>
        <w:tc>
          <w:tcPr>
            <w:tcW w:w="1369" w:type="dxa"/>
            <w:vAlign w:val="center"/>
          </w:tcPr>
          <w:p w:rsidR="00EE3E1E" w:rsidRPr="00AF2B0D" w:rsidRDefault="00EE3E1E"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EE3E1E" w:rsidRPr="00AF2B0D" w:rsidRDefault="00EE3E1E"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EE3E1E" w:rsidRPr="00AF2B0D" w:rsidRDefault="00EE3E1E"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EE3E1E" w:rsidRPr="00AF2B0D" w:rsidRDefault="00EE3E1E"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EE3E1E" w:rsidRPr="00AF2B0D" w:rsidRDefault="00EE3E1E"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C12A</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 STREFA</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59908</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C12A</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II STREFA</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22546</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C12B</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 STREFA</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72739</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C12B</w:t>
            </w:r>
          </w:p>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II STREFA</w:t>
            </w:r>
          </w:p>
        </w:tc>
        <w:tc>
          <w:tcPr>
            <w:tcW w:w="1100" w:type="dxa"/>
            <w:vAlign w:val="center"/>
          </w:tcPr>
          <w:p w:rsidR="00AF2B0D" w:rsidRPr="00AF2B0D" w:rsidRDefault="00EE3E1E" w:rsidP="00AF2B0D">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112350</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631" w:type="dxa"/>
            <w:vAlign w:val="center"/>
          </w:tcPr>
          <w:p w:rsidR="00AF2B0D" w:rsidRPr="00AF2B0D" w:rsidRDefault="00EE3E1E" w:rsidP="00AF2B0D">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r w:rsidR="00AF2B0D">
              <w:rPr>
                <w:rFonts w:ascii="Times New Roman" w:eastAsia="Times New Roman" w:hAnsi="Times New Roman" w:cs="Times New Roman"/>
                <w:sz w:val="16"/>
                <w:szCs w:val="16"/>
                <w:lang w:eastAsia="pl-PL"/>
              </w:rPr>
              <w:t>.</w:t>
            </w:r>
          </w:p>
        </w:tc>
        <w:tc>
          <w:tcPr>
            <w:tcW w:w="1275"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G11</w:t>
            </w:r>
          </w:p>
        </w:tc>
        <w:tc>
          <w:tcPr>
            <w:tcW w:w="1100" w:type="dxa"/>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10</w:t>
            </w:r>
          </w:p>
        </w:tc>
        <w:tc>
          <w:tcPr>
            <w:tcW w:w="1369"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607"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512"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r w:rsidR="00AF2B0D" w:rsidRPr="00AF2B0D" w:rsidTr="00AF2B0D">
        <w:trPr>
          <w:trHeight w:val="550"/>
        </w:trPr>
        <w:tc>
          <w:tcPr>
            <w:tcW w:w="4375" w:type="dxa"/>
            <w:gridSpan w:val="4"/>
            <w:tcBorders>
              <w:top w:val="single" w:sz="4" w:space="0" w:color="auto"/>
              <w:left w:val="single" w:sz="4" w:space="0" w:color="auto"/>
              <w:bottom w:val="single" w:sz="4" w:space="0" w:color="auto"/>
              <w:right w:val="single" w:sz="4" w:space="0" w:color="auto"/>
            </w:tcBorders>
            <w:vAlign w:val="center"/>
          </w:tcPr>
          <w:p w:rsidR="00AF2B0D" w:rsidRPr="00AF2B0D" w:rsidRDefault="00AF2B0D" w:rsidP="00AF2B0D">
            <w:pPr>
              <w:spacing w:after="0" w:line="240" w:lineRule="auto"/>
              <w:jc w:val="center"/>
              <w:rPr>
                <w:rFonts w:ascii="Times New Roman" w:eastAsia="Times New Roman" w:hAnsi="Times New Roman" w:cs="Times New Roman"/>
                <w:b/>
                <w:sz w:val="16"/>
                <w:szCs w:val="16"/>
                <w:lang w:eastAsia="pl-PL"/>
              </w:rPr>
            </w:pPr>
            <w:r w:rsidRPr="00AF2B0D">
              <w:rPr>
                <w:rFonts w:ascii="Times New Roman" w:eastAsia="Times New Roman" w:hAnsi="Times New Roman" w:cs="Times New Roman"/>
                <w:b/>
                <w:sz w:val="16"/>
                <w:szCs w:val="16"/>
                <w:lang w:eastAsia="pl-PL"/>
              </w:rPr>
              <w:t>ŁĄCZNIE</w:t>
            </w:r>
          </w:p>
        </w:tc>
        <w:tc>
          <w:tcPr>
            <w:tcW w:w="1607" w:type="dxa"/>
            <w:tcBorders>
              <w:top w:val="single" w:sz="4" w:space="0" w:color="auto"/>
              <w:left w:val="single" w:sz="4" w:space="0" w:color="auto"/>
              <w:bottom w:val="single" w:sz="4" w:space="0" w:color="auto"/>
              <w:right w:val="single" w:sz="4" w:space="0" w:color="auto"/>
            </w:tcBorders>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r w:rsidRPr="00AF2B0D">
              <w:rPr>
                <w:rFonts w:ascii="Times New Roman" w:eastAsia="Times New Roman" w:hAnsi="Times New Roman" w:cs="Times New Roman"/>
                <w:sz w:val="16"/>
                <w:szCs w:val="16"/>
                <w:lang w:eastAsia="pl-PL"/>
              </w:rPr>
              <w:t>X</w:t>
            </w:r>
          </w:p>
        </w:tc>
        <w:tc>
          <w:tcPr>
            <w:tcW w:w="1512" w:type="dxa"/>
            <w:tcBorders>
              <w:top w:val="single" w:sz="4" w:space="0" w:color="auto"/>
              <w:left w:val="single" w:sz="4" w:space="0" w:color="auto"/>
              <w:bottom w:val="single" w:sz="4" w:space="0" w:color="auto"/>
              <w:right w:val="single" w:sz="4" w:space="0" w:color="auto"/>
            </w:tcBorders>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c>
          <w:tcPr>
            <w:tcW w:w="1075" w:type="dxa"/>
            <w:tcBorders>
              <w:top w:val="single" w:sz="4" w:space="0" w:color="auto"/>
              <w:left w:val="single" w:sz="4" w:space="0" w:color="auto"/>
              <w:bottom w:val="single" w:sz="4" w:space="0" w:color="auto"/>
              <w:right w:val="single" w:sz="4" w:space="0" w:color="auto"/>
            </w:tcBorders>
            <w:vAlign w:val="center"/>
          </w:tcPr>
          <w:p w:rsidR="00AF2B0D" w:rsidRPr="00AF2B0D" w:rsidRDefault="00AF2B0D" w:rsidP="00AF2B0D">
            <w:pPr>
              <w:spacing w:after="0" w:line="240" w:lineRule="auto"/>
              <w:jc w:val="center"/>
              <w:rPr>
                <w:rFonts w:ascii="Times New Roman" w:eastAsia="Times New Roman" w:hAnsi="Times New Roman" w:cs="Times New Roman"/>
                <w:sz w:val="16"/>
                <w:szCs w:val="16"/>
                <w:lang w:eastAsia="pl-PL"/>
              </w:rPr>
            </w:pPr>
          </w:p>
        </w:tc>
      </w:tr>
    </w:tbl>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ab/>
      </w:r>
    </w:p>
    <w:p w:rsidR="00AF2B0D" w:rsidRPr="00AF2B0D" w:rsidRDefault="00AF2B0D" w:rsidP="00AF2B0D">
      <w:pPr>
        <w:spacing w:after="0" w:line="276" w:lineRule="auto"/>
        <w:jc w:val="both"/>
        <w:rPr>
          <w:rFonts w:ascii="Times New Roman" w:hAnsi="Times New Roman" w:cs="Times New Roman"/>
        </w:rPr>
      </w:pPr>
    </w:p>
    <w:p w:rsidR="00AF2B0D" w:rsidRPr="00AF2B0D" w:rsidRDefault="00EE0BE9" w:rsidP="00AF2B0D">
      <w:pPr>
        <w:spacing w:after="0" w:line="276"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Zamawiający nie przewiduje dostaw energii </w:t>
      </w:r>
      <w:r w:rsidR="00AF2B0D" w:rsidRPr="00AF2B0D">
        <w:rPr>
          <w:rFonts w:ascii="Times New Roman" w:hAnsi="Times New Roman" w:cs="Times New Roman"/>
        </w:rPr>
        <w:t>dla podmiotów nie będących nabywcą końcowym energii elektrycznej w rozumieniu ustawy z dnia 6 grudnia 2008 r., O podatku akcyzowym (D</w:t>
      </w:r>
      <w:r>
        <w:rPr>
          <w:rFonts w:ascii="Times New Roman" w:hAnsi="Times New Roman" w:cs="Times New Roman"/>
        </w:rPr>
        <w:t>z. U. z 2019 r. poz. 864 t. j.).</w:t>
      </w:r>
    </w:p>
    <w:p w:rsidR="00AF2B0D" w:rsidRPr="00AF2B0D" w:rsidRDefault="00AF2B0D" w:rsidP="00AF2B0D">
      <w:pPr>
        <w:spacing w:after="0" w:line="240" w:lineRule="auto"/>
        <w:rPr>
          <w:rFonts w:ascii="Times New Roman" w:eastAsia="Times New Roman" w:hAnsi="Times New Roman" w:cs="Times New Roman"/>
          <w:lang w:eastAsia="pl-PL"/>
        </w:rPr>
      </w:pP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 xml:space="preserve">Ceny określone w ust. 1 </w:t>
      </w:r>
      <w:r w:rsidRPr="00162D26">
        <w:rPr>
          <w:rFonts w:ascii="Times New Roman" w:hAnsi="Times New Roman" w:cs="Times New Roman"/>
          <w:strike/>
        </w:rPr>
        <w:t>oraz 2</w:t>
      </w:r>
      <w:r w:rsidRPr="00AF2B0D">
        <w:rPr>
          <w:rFonts w:ascii="Times New Roman" w:hAnsi="Times New Roman" w:cs="Times New Roman"/>
        </w:rPr>
        <w:t xml:space="preserve"> nie ulegną zmianie w okresie obowiązywania umowy z wyjątkiem sytuacji, w której dokona się zmiana stawki podatku VAT lub podatku akcyzowego oraz w przypadku zmian powszechnie obowiązujących przepisów prawa w zakresie mającym wpływ na realizacją przedmiotu zamówienia.</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4.</w:t>
      </w:r>
      <w:r w:rsidRPr="00AF2B0D">
        <w:rPr>
          <w:rFonts w:ascii="Times New Roman" w:hAnsi="Times New Roman" w:cs="Times New Roman"/>
        </w:rPr>
        <w:tab/>
        <w:t>Określenie przewidywanej szacunkowej wolumenu energii elektrycznej przedstawiony w załączniku do SIWZ stanowi element służący tylko do określenia wartości zamówienia i nie stanowi zobowiązania Zamawiającego do zakupu energii w podanych ilościach.</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4</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Dostawa (sprzedaż) energii elektrycznej odbywa się na warunkach określonych przepisami ustawy z dnia 10 kwietnia 1997 r. Prawo energetyczne, zwanej dalej „Prawem energetycznym”, zgodnie z obowiązującymi rozporządzeniami do w/w ustawy, zapisami ustawy Kodeks cywilny zasadami określonymi w koncesjach, postanowieniami SIWZ, niniejszej umowy oraz zgodnie z Taryfą cen energii przedstawionych w ofercie przetargowej.</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Dostawa (sprzedaż) odbywa się za pośrednictwem sieci dystrybucji należącej do Operatora Systemu Dystrybucyjnego (OSD) właściwego dla obszaru na którym umiejscowione są PPE.</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Wykonawca oświadcza, że posiada koncesję na obrót energią elektryczną nr:</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wydaną przez Prezesa Urzędu Regulacji Energetyki.</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4.</w:t>
      </w:r>
      <w:r w:rsidRPr="00AF2B0D">
        <w:rPr>
          <w:rFonts w:ascii="Times New Roman" w:hAnsi="Times New Roman" w:cs="Times New Roman"/>
        </w:rPr>
        <w:tab/>
        <w:t>Wykonawca oświadcza, że ma zawartą umowę z OSD w ramach, której OSD zapewnia Wykonawcy świadczenie usług dystrybucji na rzecz Zamawiającego (Generalna Umowa Dystrybucyjna).</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5</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W przypadku niedotrzymania jakościowych standardów obsługi przez Wykonawcę Zamawiającemu na jego pisemny wniosek przysługuje prawo do bonifikaty wg stawek określonych w rozporządzeniu Ministra Gospodarki z dnia 18 sierpnia 2011 r. W sprawie szczegółowych zasad kształtowania i kalkulacji taryf oraz rozliczeń w obrocie energią elektryczną (Dz. U.</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z 2019 r. poz. 503) lub w każdoczesnym później wydanym akcie prawnym określającym te stawki.</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Zamawiający zobowiązuje się do:</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pobierania energii elektrycznej zgodnie z obowiązującymi przepisami prawa i warunkami niniejszej umowy;</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terminowego regulowania należności za zakupioną energię elektryczną,</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Dostawca zobowiązuje się również do pełnienia funkcji podmiotu odpowiedzialnego za bilansowanie handlowe dla energii elektrycznej sprzedanej w ramach zawartej Umowy. Dostawca dokonywać będzie bilansow</w:t>
      </w:r>
      <w:r>
        <w:rPr>
          <w:rFonts w:ascii="Times New Roman" w:hAnsi="Times New Roman" w:cs="Times New Roman"/>
        </w:rPr>
        <w:t>ania handlowego energii zakupio</w:t>
      </w:r>
      <w:r w:rsidRPr="00AF2B0D">
        <w:rPr>
          <w:rFonts w:ascii="Times New Roman" w:hAnsi="Times New Roman" w:cs="Times New Roman"/>
        </w:rPr>
        <w:t>nej przez Zamawiającego na podstawie wskazań układów pomiarowych dla OSD.</w:t>
      </w:r>
    </w:p>
    <w:p w:rsidR="00AF2B0D" w:rsidRPr="00162D26" w:rsidRDefault="00AF2B0D" w:rsidP="00162D26">
      <w:pPr>
        <w:spacing w:before="100" w:beforeAutospacing="1" w:after="100" w:afterAutospacing="1" w:line="240" w:lineRule="auto"/>
        <w:rPr>
          <w:rFonts w:ascii="Times New Roman" w:eastAsia="Times New Roman" w:hAnsi="Times New Roman" w:cs="Times New Roman"/>
          <w:sz w:val="24"/>
          <w:szCs w:val="24"/>
          <w:lang w:eastAsia="pl-PL"/>
        </w:rPr>
      </w:pPr>
      <w:r w:rsidRPr="00AF2B0D">
        <w:rPr>
          <w:rFonts w:ascii="Times New Roman" w:hAnsi="Times New Roman" w:cs="Times New Roman"/>
        </w:rPr>
        <w:t>4.</w:t>
      </w:r>
      <w:r w:rsidRPr="00AF2B0D">
        <w:rPr>
          <w:rFonts w:ascii="Times New Roman" w:hAnsi="Times New Roman" w:cs="Times New Roman"/>
        </w:rPr>
        <w:tab/>
        <w:t>Rozliczenia za pobraną energię elektryczną odbywać się będą na podstawie wskazań zainstalowanych układów pomiarowych lub opłaty ryczałtowej wg wybieranych przez Zamawiającego grup taryfowych. Zamawiający zastrzega sobie prawo do zmian wartości mocy umownych dla poszczególnych odbiorów w trakcie obowiązywania umowy za zgodą OSD.</w:t>
      </w:r>
      <w:r w:rsidR="00162D26" w:rsidRPr="00162D26">
        <w:rPr>
          <w:rFonts w:ascii="Times New Roman" w:eastAsia="Times New Roman" w:hAnsi="Times New Roman" w:cs="Times New Roman"/>
          <w:i/>
          <w:iCs/>
          <w:sz w:val="24"/>
          <w:szCs w:val="24"/>
          <w:lang w:eastAsia="pl-PL"/>
        </w:rPr>
        <w:t xml:space="preserve"> </w:t>
      </w:r>
      <w:r w:rsidR="00162D26" w:rsidRPr="00110E82">
        <w:rPr>
          <w:rFonts w:ascii="Times New Roman" w:eastAsia="Times New Roman" w:hAnsi="Times New Roman" w:cs="Times New Roman"/>
          <w:iCs/>
          <w:lang w:eastAsia="pl-PL"/>
        </w:rPr>
        <w:t>Zamawiający może zwiększyć moc przyłączeniową/ umowną do obiektów w ramach określonych przez Zamawiającego w przedmiocie zamówienia grup taryfowych .</w:t>
      </w:r>
      <w:bookmarkStart w:id="0" w:name="_GoBack"/>
      <w:bookmarkEnd w:id="0"/>
    </w:p>
    <w:p w:rsidR="00AF2B0D" w:rsidRPr="00110E82"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lastRenderedPageBreak/>
        <w:t>5.</w:t>
      </w:r>
      <w:r w:rsidRPr="00AF2B0D">
        <w:rPr>
          <w:rFonts w:ascii="Times New Roman" w:hAnsi="Times New Roman" w:cs="Times New Roman"/>
        </w:rPr>
        <w:tab/>
      </w:r>
      <w:r w:rsidRPr="00110E82">
        <w:rPr>
          <w:rFonts w:ascii="Times New Roman" w:hAnsi="Times New Roman" w:cs="Times New Roman"/>
        </w:rPr>
        <w:t>Zamawiający zastrzega sobie prawo do zmian wartości mocy umownych dla poszczególnych odbiorów w trakcie obowiązywania umowy</w:t>
      </w:r>
      <w:r w:rsidR="00162D26" w:rsidRPr="00110E82">
        <w:rPr>
          <w:rFonts w:ascii="Times New Roman" w:eastAsia="Times New Roman" w:hAnsi="Times New Roman" w:cs="Times New Roman"/>
          <w:iCs/>
          <w:lang w:eastAsia="pl-PL"/>
        </w:rPr>
        <w:t xml:space="preserve"> w ramach określonych przez Zamawiającego w przedmiocie zamówienia grup taryfowych</w:t>
      </w:r>
      <w:r w:rsidRPr="00110E82">
        <w:rPr>
          <w:rFonts w:ascii="Times New Roman" w:hAnsi="Times New Roman" w:cs="Times New Roman"/>
        </w:rPr>
        <w:t>.</w:t>
      </w:r>
    </w:p>
    <w:p w:rsidR="00AF2B0D" w:rsidRPr="00110E82"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6</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Dostawca zobowiązuje się do przestrzegania wszystkich warunków niniejszej umowy i zapisów wynikających ze SIWZ.</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 xml:space="preserve">§ 7                                                                                                                                                                                                                                                                                                            </w:t>
      </w:r>
      <w:r>
        <w:rPr>
          <w:rFonts w:ascii="Times New Roman" w:hAnsi="Times New Roman" w:cs="Times New Roman"/>
        </w:rPr>
        <w:t xml:space="preserve">                               </w:t>
      </w:r>
      <w:r w:rsidRPr="00AF2B0D">
        <w:rPr>
          <w:rFonts w:ascii="Times New Roman" w:hAnsi="Times New Roman" w:cs="Times New Roman"/>
        </w:rPr>
        <w:t xml:space="preserve"> </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Nabywcą i odbiorcą faktur VAT, wobec których wystawcą jest Wykonawca, będą podmioty okr</w:t>
      </w:r>
      <w:r>
        <w:rPr>
          <w:rFonts w:ascii="Times New Roman" w:hAnsi="Times New Roman" w:cs="Times New Roman"/>
        </w:rPr>
        <w:t xml:space="preserve">eślone w umowach szczegółowych, </w:t>
      </w:r>
      <w:r w:rsidRPr="00AF2B0D">
        <w:rPr>
          <w:rFonts w:ascii="Times New Roman" w:hAnsi="Times New Roman" w:cs="Times New Roman"/>
        </w:rPr>
        <w:t xml:space="preserve">o których mowa w § 1 ust. 2 niniejszej umowy (zawartych </w:t>
      </w:r>
      <w:r>
        <w:rPr>
          <w:rFonts w:ascii="Times New Roman" w:hAnsi="Times New Roman" w:cs="Times New Roman"/>
        </w:rPr>
        <w:t>na podstawie § </w:t>
      </w:r>
      <w:r w:rsidRPr="00AF2B0D">
        <w:rPr>
          <w:rFonts w:ascii="Times New Roman" w:hAnsi="Times New Roman" w:cs="Times New Roman"/>
        </w:rPr>
        <w:t>1 ust. 2 – 4 niniejszej umowy).</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8</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Wypowiedzenie dotychczas obowiązujących umów na świadczenie usług dystrybucji energii elektrycznej i sprzedaży energii elektrycznej (umowa kompleksowa) jak również umowy na świadczenie usług dystrybucji energii elektrycznej i umowy sprzedaży energii elektrycznej (w przypadku umów rozdzielonych) oraz złożenie wniosku zgłoszenia zmiany sprzedawcy energii elektrycznej oraz wniosku o zawarcie umowy na świadczenie usług dystrybucji energii elektrycznej z OSD należeć będzie do Wykonawcy w imieniu Zamawiającego, który na wykonanie tych czynności udziela mu pełnomocnictwa.</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9</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Możliwość zmiany umowy istnieje w sytuacji gdy konieczność wprowadzenia zmian wynika z okoliczności, przewidzianych w Specyfikacji Istotnych Warunków Zamówienia (SIWZ).</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Dopuszcza się możliwość zwiększenia lub zmniejszenia ilości Punktów Poboru Energii (PPE). W przypadku zwiększenia ilości PPE, energia elektryczna dostarczana do Punktów Poboru Energii nie ujętych w pierwotnym brzmieniu załączników do SIWZ (tabela *xls), dot. poszczególnych Płatników. będzie rozliczana na podstawie cen jednostkowych przedstawionych w niniejszej umowie. Zwiększenie ilości PPE jest możliwe jedynie w obrębie grup taryfowych, które zostały ujęte w SIWZ oraz wycenione w Formularzu Cenowym Wykonawcy i które stanowią załącznik do oferty.</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3.</w:t>
      </w:r>
      <w:r w:rsidRPr="00AF2B0D">
        <w:rPr>
          <w:rFonts w:ascii="Times New Roman" w:hAnsi="Times New Roman" w:cs="Times New Roman"/>
        </w:rPr>
        <w:tab/>
        <w:t>Możliwość zwiększenia lub zmniejszenia ilości Punktów Poboru Energii (PPE), przewidziana w</w:t>
      </w:r>
      <w:r>
        <w:rPr>
          <w:rFonts w:ascii="Times New Roman" w:hAnsi="Times New Roman" w:cs="Times New Roman"/>
        </w:rPr>
        <w:t xml:space="preserve"> zapisie ust. 2, a tym samym ob</w:t>
      </w:r>
      <w:r w:rsidRPr="00AF2B0D">
        <w:rPr>
          <w:rFonts w:ascii="Times New Roman" w:hAnsi="Times New Roman" w:cs="Times New Roman"/>
        </w:rPr>
        <w:t>jęcie postanowieniami niniejszej umowy, dot. również odbiorców energii elektrycznej, nie uwzględnionych w pierwotnym brzmieniu załączników do SIWZ (tabela *xls), w przypadkach, gdy ww. odbiorca energii elek</w:t>
      </w:r>
      <w:r>
        <w:rPr>
          <w:rFonts w:ascii="Times New Roman" w:hAnsi="Times New Roman" w:cs="Times New Roman"/>
        </w:rPr>
        <w:t>trycznej został utworzony, połą</w:t>
      </w:r>
      <w:r w:rsidRPr="00AF2B0D">
        <w:rPr>
          <w:rFonts w:ascii="Times New Roman" w:hAnsi="Times New Roman" w:cs="Times New Roman"/>
        </w:rPr>
        <w:t xml:space="preserve">czony lub przekształcony w inną formę </w:t>
      </w:r>
      <w:proofErr w:type="spellStart"/>
      <w:r w:rsidRPr="00AF2B0D">
        <w:rPr>
          <w:rFonts w:ascii="Times New Roman" w:hAnsi="Times New Roman" w:cs="Times New Roman"/>
        </w:rPr>
        <w:t>organizacyjno</w:t>
      </w:r>
      <w:proofErr w:type="spellEnd"/>
      <w:r w:rsidRPr="00AF2B0D">
        <w:rPr>
          <w:rFonts w:ascii="Times New Roman" w:hAnsi="Times New Roman" w:cs="Times New Roman"/>
        </w:rPr>
        <w:t xml:space="preserve"> – prawną, m.in.:</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w wyniku uchwały organu stanowiącego właściwej jednostki samorządu terytorialnego, zgodnie z zapisem art. 6 ust. 1 ustawy z dnia 20 grudnia 1996 r. O gospodarce komunalnej, dokonano odpowiednio utworzenia, połączenia lub prze-kształcenia samorządowego zakładu budżetowego lub samorządowej jednostki organizacyjnej;</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w wyniku uchwały organu stanowiącego właściwej jednostki samorządu terytorialnego, zgodnie z zapisem art. 9 ust. 1 ustawy z dnia 20 grudnia 1996 r. O gospodarce komunalnej utworzono, ze składników mienia samorządowego zakładu budżetowego lub jednostki organizacyjnej, utworzono, połączono lub przekształcono spółkę prawa handlowego z udziałem jednostek samorządu terytorialnego.</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4.</w:t>
      </w:r>
      <w:r w:rsidRPr="00AF2B0D">
        <w:rPr>
          <w:rFonts w:ascii="Times New Roman" w:hAnsi="Times New Roman" w:cs="Times New Roman"/>
        </w:rPr>
        <w:tab/>
        <w:t>Dopuszcza się zwiększenie lub zmniejszenie ilości energii elektrycznej kupowanej na potrzeby</w:t>
      </w:r>
      <w:r>
        <w:rPr>
          <w:rFonts w:ascii="Times New Roman" w:hAnsi="Times New Roman" w:cs="Times New Roman"/>
        </w:rPr>
        <w:t xml:space="preserve"> punktów poboru objętych niniej</w:t>
      </w:r>
      <w:r w:rsidRPr="00AF2B0D">
        <w:rPr>
          <w:rFonts w:ascii="Times New Roman" w:hAnsi="Times New Roman" w:cs="Times New Roman"/>
        </w:rPr>
        <w:t>szą umową.</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lastRenderedPageBreak/>
        <w:t>5.</w:t>
      </w:r>
      <w:r w:rsidRPr="00AF2B0D">
        <w:rPr>
          <w:rFonts w:ascii="Times New Roman" w:hAnsi="Times New Roman" w:cs="Times New Roman"/>
        </w:rPr>
        <w:tab/>
        <w:t>Sprzedaż energii elektrycznej dla nowego punktu poboru nie objętego w załącznikach do SIWZ, dotyczących poszczególnych Płatników lub dla punktu, w którym nastąpił znaczący przyrost mocy w związku z dokonaną rozbudową, będzie dokonywana na podstawie aneksu do umowy sprzedaży energii elektrycznej bez konieczności renegocjowania warunków Umowy. Zmiana załączników do SIWZ, dotyczących poszczególnych Płatników nie stanowi zmiany warunków niniejszej Umowy.</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6.</w:t>
      </w:r>
      <w:r w:rsidRPr="00AF2B0D">
        <w:rPr>
          <w:rFonts w:ascii="Times New Roman" w:hAnsi="Times New Roman" w:cs="Times New Roman"/>
        </w:rPr>
        <w:tab/>
        <w:t>Strony postanawiają, że na wniosek Zamawiającego możliwe jest zaprzestanie sprzedaży e</w:t>
      </w:r>
      <w:r>
        <w:rPr>
          <w:rFonts w:ascii="Times New Roman" w:hAnsi="Times New Roman" w:cs="Times New Roman"/>
        </w:rPr>
        <w:t>nergii elektrycznej dla poszcze</w:t>
      </w:r>
      <w:r w:rsidRPr="00AF2B0D">
        <w:rPr>
          <w:rFonts w:ascii="Times New Roman" w:hAnsi="Times New Roman" w:cs="Times New Roman"/>
        </w:rPr>
        <w:t>gólnych punktów poboru ujętych w załącznikach do SIWZ, dotyczących poszczególnych Płatn</w:t>
      </w:r>
      <w:r>
        <w:rPr>
          <w:rFonts w:ascii="Times New Roman" w:hAnsi="Times New Roman" w:cs="Times New Roman"/>
        </w:rPr>
        <w:t>ików i nie stanowi ono rozwiąza</w:t>
      </w:r>
      <w:r w:rsidRPr="00AF2B0D">
        <w:rPr>
          <w:rFonts w:ascii="Times New Roman" w:hAnsi="Times New Roman" w:cs="Times New Roman"/>
        </w:rPr>
        <w:t>nia całej Umowy chyba, że przedmiotem wypowiedzenia są wszys</w:t>
      </w:r>
      <w:r>
        <w:rPr>
          <w:rFonts w:ascii="Times New Roman" w:hAnsi="Times New Roman" w:cs="Times New Roman"/>
        </w:rPr>
        <w:t>tkie punkty poboru określone w załączniku do SIWZ, doty</w:t>
      </w:r>
      <w:r w:rsidRPr="00AF2B0D">
        <w:rPr>
          <w:rFonts w:ascii="Times New Roman" w:hAnsi="Times New Roman" w:cs="Times New Roman"/>
        </w:rPr>
        <w:t>czącym poszczególnego Płatnika.</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7.</w:t>
      </w:r>
      <w:r w:rsidRPr="00AF2B0D">
        <w:rPr>
          <w:rFonts w:ascii="Times New Roman" w:hAnsi="Times New Roman" w:cs="Times New Roman"/>
        </w:rPr>
        <w:tab/>
        <w:t>SIWZ oraz oferta Wykonawcy wraz z jej załącznikami stanowią integralną część Umowy.</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10</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1.</w:t>
      </w:r>
      <w:r w:rsidRPr="00AF2B0D">
        <w:rPr>
          <w:rFonts w:ascii="Times New Roman" w:hAnsi="Times New Roman" w:cs="Times New Roman"/>
        </w:rPr>
        <w:tab/>
        <w:t>Wszelkie spory związane z realizacją niniejszej umowy rozstrzygać będzie sąd właściwy dla siedziby Zamawiającego;</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2.</w:t>
      </w:r>
      <w:r w:rsidRPr="00AF2B0D">
        <w:rPr>
          <w:rFonts w:ascii="Times New Roman" w:hAnsi="Times New Roman" w:cs="Times New Roman"/>
        </w:rPr>
        <w:tab/>
        <w:t>W sprawach nieokreślonych niniejszą umową mają zastosowanie przepisy prawa polskiego powszechnie obo</w:t>
      </w:r>
      <w:r>
        <w:rPr>
          <w:rFonts w:ascii="Times New Roman" w:hAnsi="Times New Roman" w:cs="Times New Roman"/>
        </w:rPr>
        <w:t xml:space="preserve">wiązującego, a w szczególności: </w:t>
      </w:r>
      <w:r w:rsidRPr="00AF2B0D">
        <w:rPr>
          <w:rFonts w:ascii="Times New Roman" w:hAnsi="Times New Roman" w:cs="Times New Roman"/>
        </w:rPr>
        <w:t>ustawy Prawo z</w:t>
      </w:r>
      <w:r>
        <w:rPr>
          <w:rFonts w:ascii="Times New Roman" w:hAnsi="Times New Roman" w:cs="Times New Roman"/>
        </w:rPr>
        <w:t xml:space="preserve">amówień publicznych; ustawy Kodeks cywilny; </w:t>
      </w:r>
      <w:r w:rsidRPr="00AF2B0D">
        <w:rPr>
          <w:rFonts w:ascii="Times New Roman" w:hAnsi="Times New Roman" w:cs="Times New Roman"/>
        </w:rPr>
        <w:t>ustawy Prawo energetyczne wraz z aktami wykonawczymi.</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11</w:t>
      </w:r>
    </w:p>
    <w:p w:rsid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Wszelkie zmiany w treści niniejszej umowy dla swej ważności wymagają formy pisemnej pod rygorem nieważności.</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12</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Umowę sporządzono w dwóch jednobrzmiących egzemplarzach,</w:t>
      </w:r>
      <w:r>
        <w:rPr>
          <w:rFonts w:ascii="Times New Roman" w:hAnsi="Times New Roman" w:cs="Times New Roman"/>
        </w:rPr>
        <w:t xml:space="preserve"> po jednej dla każdej ze stron.</w:t>
      </w: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p>
    <w:p w:rsidR="00AF2B0D" w:rsidRPr="00AF2B0D" w:rsidRDefault="00AF2B0D" w:rsidP="00AF2B0D">
      <w:pPr>
        <w:spacing w:after="0" w:line="276" w:lineRule="auto"/>
        <w:jc w:val="both"/>
        <w:rPr>
          <w:rFonts w:ascii="Times New Roman" w:hAnsi="Times New Roman" w:cs="Times New Roman"/>
        </w:rPr>
      </w:pPr>
      <w:r>
        <w:rPr>
          <w:rFonts w:ascii="Times New Roman" w:hAnsi="Times New Roman" w:cs="Times New Roman"/>
        </w:rPr>
        <w:t xml:space="preserve">……………………………………………                 </w:t>
      </w:r>
      <w:r w:rsidRPr="00AF2B0D">
        <w:rPr>
          <w:rFonts w:ascii="Times New Roman" w:hAnsi="Times New Roman" w:cs="Times New Roman"/>
        </w:rPr>
        <w:t>…………………….……………………………</w:t>
      </w:r>
    </w:p>
    <w:p w:rsidR="00AF2B0D" w:rsidRPr="00AF2B0D" w:rsidRDefault="00AF2B0D" w:rsidP="00AF2B0D">
      <w:pPr>
        <w:spacing w:after="0" w:line="276" w:lineRule="auto"/>
        <w:jc w:val="both"/>
        <w:rPr>
          <w:rFonts w:ascii="Times New Roman" w:hAnsi="Times New Roman" w:cs="Times New Roman"/>
        </w:rPr>
      </w:pPr>
      <w:r w:rsidRPr="00AF2B0D">
        <w:rPr>
          <w:rFonts w:ascii="Times New Roman" w:hAnsi="Times New Roman" w:cs="Times New Roman"/>
        </w:rPr>
        <w:t>PEŁNOMOCNIK GRUPY ZAKUPOWEJ:</w:t>
      </w:r>
      <w:r w:rsidRPr="00AF2B0D">
        <w:rPr>
          <w:rFonts w:ascii="Times New Roman" w:hAnsi="Times New Roman" w:cs="Times New Roman"/>
        </w:rPr>
        <w:tab/>
      </w:r>
      <w:r w:rsidRPr="00AF2B0D">
        <w:rPr>
          <w:rFonts w:ascii="Times New Roman" w:hAnsi="Times New Roman" w:cs="Times New Roman"/>
        </w:rPr>
        <w:tab/>
      </w:r>
      <w:r>
        <w:rPr>
          <w:rFonts w:ascii="Times New Roman" w:hAnsi="Times New Roman" w:cs="Times New Roman"/>
        </w:rPr>
        <w:t xml:space="preserve">                     </w:t>
      </w:r>
      <w:r w:rsidRPr="00AF2B0D">
        <w:rPr>
          <w:rFonts w:ascii="Times New Roman" w:hAnsi="Times New Roman" w:cs="Times New Roman"/>
        </w:rPr>
        <w:t>DOSTAWCA:</w:t>
      </w:r>
    </w:p>
    <w:p w:rsidR="000649BD" w:rsidRPr="00AF2B0D" w:rsidRDefault="000649BD" w:rsidP="00AF2B0D">
      <w:pPr>
        <w:spacing w:after="0" w:line="276" w:lineRule="auto"/>
        <w:jc w:val="both"/>
        <w:rPr>
          <w:rFonts w:ascii="Times New Roman" w:hAnsi="Times New Roman" w:cs="Times New Roman"/>
        </w:rPr>
      </w:pPr>
    </w:p>
    <w:sectPr w:rsidR="000649BD" w:rsidRPr="00AF2B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80" w:rsidRDefault="00136F80" w:rsidP="00AF2B0D">
      <w:pPr>
        <w:spacing w:after="0" w:line="240" w:lineRule="auto"/>
      </w:pPr>
      <w:r>
        <w:separator/>
      </w:r>
    </w:p>
  </w:endnote>
  <w:endnote w:type="continuationSeparator" w:id="0">
    <w:p w:rsidR="00136F80" w:rsidRDefault="00136F80" w:rsidP="00AF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90666"/>
      <w:docPartObj>
        <w:docPartGallery w:val="Page Numbers (Bottom of Page)"/>
        <w:docPartUnique/>
      </w:docPartObj>
    </w:sdtPr>
    <w:sdtEndPr/>
    <w:sdtContent>
      <w:p w:rsidR="00AF2B0D" w:rsidRDefault="00AF2B0D">
        <w:pPr>
          <w:pStyle w:val="Stopka"/>
          <w:jc w:val="center"/>
        </w:pPr>
        <w:r>
          <w:fldChar w:fldCharType="begin"/>
        </w:r>
        <w:r>
          <w:instrText>PAGE   \* MERGEFORMAT</w:instrText>
        </w:r>
        <w:r>
          <w:fldChar w:fldCharType="separate"/>
        </w:r>
        <w:r w:rsidR="00110E82">
          <w:rPr>
            <w:noProof/>
          </w:rPr>
          <w:t>5</w:t>
        </w:r>
        <w:r>
          <w:fldChar w:fldCharType="end"/>
        </w:r>
      </w:p>
    </w:sdtContent>
  </w:sdt>
  <w:p w:rsidR="00AF2B0D" w:rsidRDefault="00AF2B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80" w:rsidRDefault="00136F80" w:rsidP="00AF2B0D">
      <w:pPr>
        <w:spacing w:after="0" w:line="240" w:lineRule="auto"/>
      </w:pPr>
      <w:r>
        <w:separator/>
      </w:r>
    </w:p>
  </w:footnote>
  <w:footnote w:type="continuationSeparator" w:id="0">
    <w:p w:rsidR="00136F80" w:rsidRDefault="00136F80" w:rsidP="00AF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D91"/>
    <w:multiLevelType w:val="hybridMultilevel"/>
    <w:tmpl w:val="6EA29FE0"/>
    <w:lvl w:ilvl="0" w:tplc="24401B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260CEB"/>
    <w:multiLevelType w:val="hybridMultilevel"/>
    <w:tmpl w:val="CD5A7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4A"/>
    <w:rsid w:val="00022959"/>
    <w:rsid w:val="000649BD"/>
    <w:rsid w:val="00110E82"/>
    <w:rsid w:val="00136F80"/>
    <w:rsid w:val="00155E9A"/>
    <w:rsid w:val="00162D26"/>
    <w:rsid w:val="001E5F24"/>
    <w:rsid w:val="002808D9"/>
    <w:rsid w:val="0029158C"/>
    <w:rsid w:val="00380B5B"/>
    <w:rsid w:val="003D4950"/>
    <w:rsid w:val="006341B1"/>
    <w:rsid w:val="006D11A4"/>
    <w:rsid w:val="00705589"/>
    <w:rsid w:val="00A92207"/>
    <w:rsid w:val="00AF2B0D"/>
    <w:rsid w:val="00B55B4A"/>
    <w:rsid w:val="00B8414A"/>
    <w:rsid w:val="00B915C6"/>
    <w:rsid w:val="00BA73CE"/>
    <w:rsid w:val="00C63389"/>
    <w:rsid w:val="00EC1109"/>
    <w:rsid w:val="00EE0BE9"/>
    <w:rsid w:val="00EE3E1E"/>
    <w:rsid w:val="00EE46CA"/>
    <w:rsid w:val="00EF3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B417F-F8F3-4C05-8D9B-FC791A1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1B1"/>
    <w:pPr>
      <w:ind w:left="720"/>
      <w:contextualSpacing/>
    </w:pPr>
  </w:style>
  <w:style w:type="paragraph" w:styleId="Nagwek">
    <w:name w:val="header"/>
    <w:basedOn w:val="Normalny"/>
    <w:link w:val="NagwekZnak"/>
    <w:uiPriority w:val="99"/>
    <w:unhideWhenUsed/>
    <w:rsid w:val="00AF2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B0D"/>
  </w:style>
  <w:style w:type="paragraph" w:styleId="Stopka">
    <w:name w:val="footer"/>
    <w:basedOn w:val="Normalny"/>
    <w:link w:val="StopkaZnak"/>
    <w:uiPriority w:val="99"/>
    <w:unhideWhenUsed/>
    <w:rsid w:val="00AF2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1924</Words>
  <Characters>11547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RZPOSiP-K</dc:creator>
  <cp:keywords/>
  <dc:description/>
  <cp:lastModifiedBy>RZPOSiP-K</cp:lastModifiedBy>
  <cp:revision>4</cp:revision>
  <dcterms:created xsi:type="dcterms:W3CDTF">2020-02-21T12:14:00Z</dcterms:created>
  <dcterms:modified xsi:type="dcterms:W3CDTF">2020-03-02T15:38:00Z</dcterms:modified>
</cp:coreProperties>
</file>